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46"/>
        <w:gridCol w:w="4961"/>
        <w:gridCol w:w="2131"/>
      </w:tblGrid>
      <w:tr w:rsidR="00A23F48" w:rsidRPr="00F9765D" w14:paraId="30920A1D" w14:textId="77777777" w:rsidTr="00846A8C">
        <w:trPr>
          <w:trHeight w:val="4081"/>
        </w:trPr>
        <w:tc>
          <w:tcPr>
            <w:tcW w:w="3246" w:type="dxa"/>
            <w:shd w:val="clear" w:color="auto" w:fill="FFEFFF"/>
          </w:tcPr>
          <w:p w14:paraId="272EA4DF" w14:textId="2ED9DB65" w:rsidR="008E39B4" w:rsidRPr="00D234E2" w:rsidRDefault="008E39B4" w:rsidP="13CAA33F">
            <w:pPr>
              <w:rPr>
                <w:b/>
                <w:bCs/>
                <w:u w:val="single"/>
              </w:rPr>
            </w:pPr>
            <w:r w:rsidRPr="00D234E2">
              <w:rPr>
                <w:b/>
                <w:bCs/>
                <w:u w:val="single"/>
              </w:rPr>
              <w:t>What will we be learning?</w:t>
            </w:r>
          </w:p>
          <w:p w14:paraId="21128E54" w14:textId="3F8A9AC4" w:rsidR="00E81769" w:rsidRPr="00D234E2" w:rsidRDefault="00E81769" w:rsidP="13CAA33F">
            <w:pPr>
              <w:rPr>
                <w:b/>
                <w:bCs/>
                <w:sz w:val="21"/>
                <w:szCs w:val="21"/>
              </w:rPr>
            </w:pPr>
            <w:r w:rsidRPr="00D234E2">
              <w:rPr>
                <w:b/>
                <w:bCs/>
                <w:sz w:val="21"/>
                <w:szCs w:val="21"/>
              </w:rPr>
              <w:t>Television in the Global Age</w:t>
            </w:r>
          </w:p>
          <w:p w14:paraId="43602CB1" w14:textId="373DB729" w:rsidR="00653C11" w:rsidRPr="00D234E2" w:rsidRDefault="00653C11" w:rsidP="13CAA33F">
            <w:pPr>
              <w:rPr>
                <w:b/>
                <w:bCs/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 xml:space="preserve">You will complete an </w:t>
            </w:r>
            <w:r w:rsidRPr="00D234E2">
              <w:rPr>
                <w:sz w:val="21"/>
                <w:szCs w:val="21"/>
              </w:rPr>
              <w:t>in-depth study of two contrasting programmes produced in different social and cultural contexts</w:t>
            </w:r>
            <w:r w:rsidRPr="00D234E2">
              <w:rPr>
                <w:sz w:val="21"/>
                <w:szCs w:val="21"/>
              </w:rPr>
              <w:t>.</w:t>
            </w:r>
          </w:p>
          <w:p w14:paraId="6AF726E0" w14:textId="3E197DDE" w:rsidR="007C20B4" w:rsidRPr="00D234E2" w:rsidRDefault="00FF4F1C" w:rsidP="00A01754">
            <w:pPr>
              <w:rPr>
                <w:b/>
                <w:bCs/>
                <w:sz w:val="21"/>
                <w:szCs w:val="21"/>
              </w:rPr>
            </w:pPr>
            <w:r w:rsidRPr="00D234E2">
              <w:rPr>
                <w:b/>
                <w:bCs/>
                <w:sz w:val="21"/>
                <w:szCs w:val="21"/>
              </w:rPr>
              <w:t>Set products:</w:t>
            </w:r>
            <w:r w:rsidR="00A01754" w:rsidRPr="00D234E2">
              <w:rPr>
                <w:b/>
                <w:bCs/>
                <w:sz w:val="21"/>
                <w:szCs w:val="21"/>
              </w:rPr>
              <w:t xml:space="preserve"> </w:t>
            </w:r>
            <w:r w:rsidR="00A01754" w:rsidRPr="00D234E2">
              <w:rPr>
                <w:sz w:val="21"/>
                <w:szCs w:val="21"/>
              </w:rPr>
              <w:t>(u</w:t>
            </w:r>
            <w:r w:rsidR="007C20B4" w:rsidRPr="00D234E2">
              <w:rPr>
                <w:sz w:val="21"/>
                <w:szCs w:val="21"/>
              </w:rPr>
              <w:t>p to 2023</w:t>
            </w:r>
            <w:r w:rsidR="00A01754" w:rsidRPr="00D234E2">
              <w:rPr>
                <w:sz w:val="21"/>
                <w:szCs w:val="21"/>
              </w:rPr>
              <w:t>)</w:t>
            </w:r>
            <w:r w:rsidR="007C20B4" w:rsidRPr="00D234E2">
              <w:rPr>
                <w:sz w:val="21"/>
                <w:szCs w:val="21"/>
              </w:rPr>
              <w:t xml:space="preserve"> </w:t>
            </w:r>
          </w:p>
          <w:p w14:paraId="1CA226D9" w14:textId="10461097" w:rsidR="00740558" w:rsidRPr="00D234E2" w:rsidRDefault="007C20B4" w:rsidP="00AD744A">
            <w:pPr>
              <w:spacing w:line="240" w:lineRule="auto"/>
              <w:rPr>
                <w:i/>
                <w:iCs/>
                <w:sz w:val="21"/>
                <w:szCs w:val="21"/>
              </w:rPr>
            </w:pPr>
            <w:r w:rsidRPr="00D234E2">
              <w:rPr>
                <w:i/>
                <w:iCs/>
                <w:sz w:val="21"/>
                <w:szCs w:val="21"/>
              </w:rPr>
              <w:t xml:space="preserve">Humans </w:t>
            </w:r>
            <w:r w:rsidRPr="00D234E2">
              <w:rPr>
                <w:sz w:val="21"/>
                <w:szCs w:val="21"/>
              </w:rPr>
              <w:t>(UK/US) Series 1, Episode 1 (2015)</w:t>
            </w:r>
          </w:p>
          <w:p w14:paraId="757809B9" w14:textId="65DB0B94" w:rsidR="00653C11" w:rsidRPr="00653C11" w:rsidRDefault="007C20B4" w:rsidP="00AD744A">
            <w:pPr>
              <w:spacing w:line="240" w:lineRule="auto"/>
            </w:pPr>
            <w:r w:rsidRPr="00D234E2">
              <w:rPr>
                <w:i/>
                <w:iCs/>
                <w:sz w:val="21"/>
                <w:szCs w:val="21"/>
              </w:rPr>
              <w:t xml:space="preserve">The Returned </w:t>
            </w:r>
            <w:r w:rsidRPr="00D234E2">
              <w:rPr>
                <w:sz w:val="21"/>
                <w:szCs w:val="21"/>
              </w:rPr>
              <w:t>(France) Season 1, Episode 1: ‘Camille’ (2012)</w:t>
            </w:r>
          </w:p>
        </w:tc>
        <w:tc>
          <w:tcPr>
            <w:tcW w:w="4961" w:type="dxa"/>
            <w:shd w:val="clear" w:color="auto" w:fill="FFEFFF"/>
          </w:tcPr>
          <w:p w14:paraId="191A053B" w14:textId="77777777" w:rsidR="008E39B4" w:rsidRPr="00D234E2" w:rsidRDefault="008E39B4" w:rsidP="13CAA33F">
            <w:pPr>
              <w:rPr>
                <w:b/>
                <w:bCs/>
                <w:u w:val="single"/>
              </w:rPr>
            </w:pPr>
            <w:r w:rsidRPr="00D234E2">
              <w:rPr>
                <w:b/>
                <w:bCs/>
                <w:u w:val="single"/>
              </w:rPr>
              <w:t>Why this? Why now?</w:t>
            </w:r>
          </w:p>
          <w:p w14:paraId="541E7F45" w14:textId="77777777" w:rsidR="005118A1" w:rsidRPr="00846A8C" w:rsidRDefault="00266EEA" w:rsidP="00266EEA">
            <w:pPr>
              <w:rPr>
                <w:sz w:val="20"/>
                <w:szCs w:val="20"/>
              </w:rPr>
            </w:pPr>
            <w:r w:rsidRPr="00846A8C">
              <w:rPr>
                <w:sz w:val="20"/>
                <w:szCs w:val="20"/>
              </w:rPr>
              <w:t xml:space="preserve">This unit </w:t>
            </w:r>
            <w:r w:rsidR="005118A1" w:rsidRPr="00846A8C">
              <w:rPr>
                <w:sz w:val="20"/>
                <w:szCs w:val="20"/>
              </w:rPr>
              <w:t xml:space="preserve">builds on the theoretical framework and analysis of set products from Component 1 to a more in-depth study of two television programmes. </w:t>
            </w:r>
          </w:p>
          <w:p w14:paraId="7202C5D7" w14:textId="05C2EB0E" w:rsidR="00266EEA" w:rsidRPr="00846A8C" w:rsidRDefault="005118A1" w:rsidP="00266EEA">
            <w:pPr>
              <w:rPr>
                <w:sz w:val="20"/>
                <w:szCs w:val="20"/>
              </w:rPr>
            </w:pPr>
            <w:r w:rsidRPr="00846A8C">
              <w:rPr>
                <w:sz w:val="20"/>
                <w:szCs w:val="20"/>
              </w:rPr>
              <w:t>Your understanding and application of media theories will be developed to include evaluation of these theories in relation to the studied products.</w:t>
            </w:r>
          </w:p>
          <w:p w14:paraId="54D78D59" w14:textId="77777777" w:rsidR="00266EEA" w:rsidRPr="00846A8C" w:rsidRDefault="00266EEA" w:rsidP="00266E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6A8C">
              <w:rPr>
                <w:b/>
                <w:bCs/>
                <w:sz w:val="20"/>
                <w:szCs w:val="20"/>
              </w:rPr>
              <w:t xml:space="preserve">This is a compulsory A level Media Studies component. </w:t>
            </w:r>
          </w:p>
          <w:p w14:paraId="4C75361B" w14:textId="3C422EA3" w:rsidR="00740558" w:rsidRPr="00811F13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846A8C">
              <w:rPr>
                <w:b/>
                <w:bCs/>
                <w:sz w:val="20"/>
                <w:szCs w:val="20"/>
              </w:rPr>
              <w:t>Your studied set products will be an examined part of your A level (Component</w:t>
            </w:r>
            <w:r w:rsidR="00E81769" w:rsidRPr="00846A8C">
              <w:rPr>
                <w:b/>
                <w:bCs/>
                <w:sz w:val="20"/>
                <w:szCs w:val="20"/>
              </w:rPr>
              <w:t xml:space="preserve"> 2: Media Forms and Products in Depth</w:t>
            </w:r>
            <w:r w:rsidRPr="00846A8C">
              <w:rPr>
                <w:b/>
                <w:bCs/>
                <w:sz w:val="20"/>
                <w:szCs w:val="20"/>
              </w:rPr>
              <w:t xml:space="preserve"> – Section </w:t>
            </w:r>
            <w:r w:rsidR="00E81769" w:rsidRPr="00846A8C">
              <w:rPr>
                <w:b/>
                <w:bCs/>
                <w:sz w:val="20"/>
                <w:szCs w:val="20"/>
              </w:rPr>
              <w:t>A</w:t>
            </w:r>
            <w:r w:rsidRPr="00846A8C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131" w:type="dxa"/>
            <w:vMerge w:val="restart"/>
            <w:shd w:val="clear" w:color="auto" w:fill="FFEFFF"/>
          </w:tcPr>
          <w:p w14:paraId="47A991E2" w14:textId="7376B834" w:rsidR="008E39B4" w:rsidRPr="00D234E2" w:rsidRDefault="008E39B4" w:rsidP="13CAA33F">
            <w:pPr>
              <w:rPr>
                <w:b/>
                <w:bCs/>
                <w:u w:val="single"/>
              </w:rPr>
            </w:pPr>
            <w:r w:rsidRPr="00D234E2">
              <w:rPr>
                <w:b/>
                <w:bCs/>
                <w:u w:val="single"/>
              </w:rPr>
              <w:t>Key Words</w:t>
            </w:r>
            <w:r w:rsidR="00811F13" w:rsidRPr="00D234E2">
              <w:rPr>
                <w:b/>
                <w:bCs/>
                <w:u w:val="single"/>
              </w:rPr>
              <w:t>:</w:t>
            </w:r>
          </w:p>
          <w:p w14:paraId="2DC7C295" w14:textId="77777777" w:rsidR="00AD744A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Globalisation</w:t>
            </w:r>
          </w:p>
          <w:p w14:paraId="1D9BD994" w14:textId="77777777" w:rsidR="007C20B4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Transnational</w:t>
            </w:r>
          </w:p>
          <w:p w14:paraId="7AB213BF" w14:textId="77777777" w:rsidR="007C20B4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Public service broadcasting</w:t>
            </w:r>
          </w:p>
          <w:p w14:paraId="7EB86C9B" w14:textId="10031968" w:rsidR="007C20B4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Production; distribution; circulation</w:t>
            </w:r>
          </w:p>
          <w:p w14:paraId="61F27509" w14:textId="5C0221C5" w:rsidR="007C20B4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Regulation</w:t>
            </w:r>
          </w:p>
          <w:p w14:paraId="58D66805" w14:textId="52458B06" w:rsidR="007C20B4" w:rsidRDefault="007C20B4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Ideological significance</w:t>
            </w:r>
          </w:p>
          <w:p w14:paraId="50F34204" w14:textId="5E23878E" w:rsidR="000A03F9" w:rsidRDefault="000A03F9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Stereotype</w:t>
            </w:r>
          </w:p>
          <w:p w14:paraId="7AD3F980" w14:textId="3D208DB1" w:rsidR="000A03F9" w:rsidRDefault="000A03F9" w:rsidP="00F3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Intertextuality</w:t>
            </w:r>
          </w:p>
          <w:p w14:paraId="796A9623" w14:textId="39AFCFE6" w:rsidR="00C02A47" w:rsidRPr="00D234E2" w:rsidRDefault="00C02A47" w:rsidP="00F3214D">
            <w:pPr>
              <w:rPr>
                <w:b/>
                <w:bCs/>
                <w:color w:val="000000" w:themeColor="text1"/>
                <w:u w:val="single"/>
              </w:rPr>
            </w:pPr>
            <w:r w:rsidRPr="00D234E2">
              <w:rPr>
                <w:b/>
                <w:bCs/>
                <w:color w:val="000000" w:themeColor="text1"/>
                <w:u w:val="single"/>
              </w:rPr>
              <w:t xml:space="preserve">Key </w:t>
            </w:r>
            <w:r w:rsidR="000A03F9" w:rsidRPr="00D234E2">
              <w:rPr>
                <w:b/>
                <w:bCs/>
                <w:color w:val="000000" w:themeColor="text1"/>
                <w:u w:val="single"/>
              </w:rPr>
              <w:t>T</w:t>
            </w:r>
            <w:r w:rsidRPr="00D234E2">
              <w:rPr>
                <w:b/>
                <w:bCs/>
                <w:color w:val="000000" w:themeColor="text1"/>
                <w:u w:val="single"/>
              </w:rPr>
              <w:t>heories:</w:t>
            </w:r>
          </w:p>
          <w:p w14:paraId="28C7860B" w14:textId="394DE11E" w:rsidR="000A03F9" w:rsidRDefault="000A03F9" w:rsidP="00F3214D">
            <w:r>
              <w:t>Narratology (incl. Todorov)</w:t>
            </w:r>
          </w:p>
          <w:p w14:paraId="29D26D9A" w14:textId="44EB6395" w:rsidR="000A03F9" w:rsidRDefault="000A03F9" w:rsidP="00F3214D">
            <w:r>
              <w:t>Genre (incl. Neale)</w:t>
            </w:r>
          </w:p>
          <w:p w14:paraId="155812D7" w14:textId="59585861" w:rsidR="000A03F9" w:rsidRDefault="000A03F9" w:rsidP="00F3214D">
            <w:r>
              <w:t>Structuralism (incl. Levi-Strauss)</w:t>
            </w:r>
          </w:p>
          <w:p w14:paraId="2D436AF7" w14:textId="6963E905" w:rsidR="000A03F9" w:rsidRDefault="000A03F9" w:rsidP="00F3214D">
            <w:r>
              <w:t>Postmodernism (incl. Baudrillard)</w:t>
            </w:r>
          </w:p>
          <w:p w14:paraId="4D8586D6" w14:textId="77777777" w:rsidR="000A03F9" w:rsidRDefault="000A03F9" w:rsidP="00F3214D">
            <w:r>
              <w:t xml:space="preserve">Theories of representation (including Hall) </w:t>
            </w:r>
          </w:p>
          <w:p w14:paraId="5DE80CBA" w14:textId="77777777" w:rsidR="000A03F9" w:rsidRDefault="000A03F9" w:rsidP="00F3214D">
            <w:r>
              <w:t xml:space="preserve">Feminist Theories (including bell hooks and Van </w:t>
            </w:r>
            <w:proofErr w:type="spellStart"/>
            <w:r>
              <w:t>Zoonen</w:t>
            </w:r>
            <w:proofErr w:type="spellEnd"/>
            <w:r>
              <w:t xml:space="preserve">) </w:t>
            </w:r>
          </w:p>
          <w:p w14:paraId="1CFB7FCF" w14:textId="77777777" w:rsidR="000A03F9" w:rsidRDefault="000A03F9" w:rsidP="00F3214D">
            <w:r>
              <w:t xml:space="preserve">Theories of gender performativity (including Butler) </w:t>
            </w:r>
          </w:p>
          <w:p w14:paraId="6CFEBE1A" w14:textId="77777777" w:rsidR="007C20B4" w:rsidRDefault="000A03F9" w:rsidP="000A03F9">
            <w:r>
              <w:t>Regulation (incl. Livingstone and Lunt)</w:t>
            </w:r>
          </w:p>
          <w:p w14:paraId="3C5AFC57" w14:textId="77777777" w:rsidR="000A03F9" w:rsidRDefault="000A03F9" w:rsidP="000A03F9">
            <w:r>
              <w:t xml:space="preserve">Cultural industries (incl. </w:t>
            </w:r>
            <w:proofErr w:type="spellStart"/>
            <w:r>
              <w:t>Hesmondhalgh</w:t>
            </w:r>
            <w:proofErr w:type="spellEnd"/>
            <w:r>
              <w:t>)</w:t>
            </w:r>
          </w:p>
          <w:p w14:paraId="36F98BA2" w14:textId="61FB71C4" w:rsidR="000A03F9" w:rsidRDefault="000A03F9" w:rsidP="000A03F9">
            <w:r>
              <w:t>Reception Theory (incl. Hall)</w:t>
            </w:r>
          </w:p>
          <w:p w14:paraId="49147324" w14:textId="789F6B55" w:rsidR="000A03F9" w:rsidRPr="00811F13" w:rsidRDefault="000A03F9" w:rsidP="005118A1">
            <w:pPr>
              <w:rPr>
                <w:color w:val="000000" w:themeColor="text1"/>
                <w:sz w:val="20"/>
                <w:szCs w:val="20"/>
              </w:rPr>
            </w:pPr>
            <w:r>
              <w:t>Fandom (incl. Jenkins)</w:t>
            </w:r>
          </w:p>
        </w:tc>
      </w:tr>
      <w:tr w:rsidR="008E39B4" w:rsidRPr="00F9765D" w14:paraId="70713B32" w14:textId="77777777" w:rsidTr="00B955C7">
        <w:trPr>
          <w:trHeight w:val="4787"/>
        </w:trPr>
        <w:tc>
          <w:tcPr>
            <w:tcW w:w="8207" w:type="dxa"/>
            <w:gridSpan w:val="2"/>
            <w:shd w:val="clear" w:color="auto" w:fill="FFEFFF"/>
          </w:tcPr>
          <w:p w14:paraId="7CDF61FB" w14:textId="67BA5A7D" w:rsidR="008E39B4" w:rsidRPr="00D234E2" w:rsidRDefault="008E39B4" w:rsidP="13CAA33F">
            <w:pPr>
              <w:rPr>
                <w:b/>
                <w:bCs/>
                <w:u w:val="single"/>
              </w:rPr>
            </w:pPr>
            <w:r w:rsidRPr="00D234E2">
              <w:rPr>
                <w:b/>
                <w:bCs/>
                <w:u w:val="single"/>
              </w:rPr>
              <w:t>What will we learn?</w:t>
            </w:r>
          </w:p>
          <w:p w14:paraId="0CB994A8" w14:textId="14768A4B" w:rsidR="00125EC2" w:rsidRPr="00D234E2" w:rsidRDefault="00125EC2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 xml:space="preserve">To </w:t>
            </w:r>
            <w:r w:rsidRPr="00D234E2">
              <w:rPr>
                <w:sz w:val="21"/>
                <w:szCs w:val="21"/>
              </w:rPr>
              <w:t>explore the dynamics that shape contemporary television production, distribution and circulation</w:t>
            </w:r>
          </w:p>
          <w:p w14:paraId="2CFE76D4" w14:textId="77777777" w:rsidR="00D234E2" w:rsidRPr="00D234E2" w:rsidRDefault="00125EC2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>To investigat</w:t>
            </w:r>
            <w:r w:rsidRPr="00D234E2">
              <w:rPr>
                <w:sz w:val="21"/>
                <w:szCs w:val="21"/>
              </w:rPr>
              <w:t>e</w:t>
            </w:r>
            <w:r w:rsidRPr="00D234E2">
              <w:rPr>
                <w:sz w:val="21"/>
                <w:szCs w:val="21"/>
              </w:rPr>
              <w:t xml:space="preserve"> the</w:t>
            </w:r>
            <w:r w:rsidRPr="00D234E2">
              <w:rPr>
                <w:sz w:val="21"/>
                <w:szCs w:val="21"/>
              </w:rPr>
              <w:t xml:space="preserve"> way in which the television industry is </w:t>
            </w:r>
            <w:proofErr w:type="gramStart"/>
            <w:r w:rsidRPr="00D234E2">
              <w:rPr>
                <w:sz w:val="21"/>
                <w:szCs w:val="21"/>
              </w:rPr>
              <w:t>regulated</w:t>
            </w:r>
            <w:proofErr w:type="gramEnd"/>
            <w:r w:rsidRPr="00D234E2">
              <w:rPr>
                <w:sz w:val="21"/>
                <w:szCs w:val="21"/>
              </w:rPr>
              <w:t xml:space="preserve"> and the marketing strategies used to promote the set products</w:t>
            </w:r>
          </w:p>
          <w:p w14:paraId="44932302" w14:textId="6E09EB43" w:rsidR="00D234E2" w:rsidRPr="00D234E2" w:rsidRDefault="00D234E2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>T</w:t>
            </w:r>
            <w:r w:rsidR="00125EC2" w:rsidRPr="00D234E2">
              <w:rPr>
                <w:sz w:val="21"/>
                <w:szCs w:val="21"/>
              </w:rPr>
              <w:t>o explore how the television audience is defined, constructed and targeted on both a national and a global scale</w:t>
            </w:r>
          </w:p>
          <w:p w14:paraId="458BE8A4" w14:textId="0D935ADC" w:rsidR="00D234E2" w:rsidRPr="00D234E2" w:rsidRDefault="00D234E2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>To e</w:t>
            </w:r>
            <w:r w:rsidR="00125EC2" w:rsidRPr="00D234E2">
              <w:rPr>
                <w:sz w:val="21"/>
                <w:szCs w:val="21"/>
              </w:rPr>
              <w:t>xamine the way in which the</w:t>
            </w:r>
            <w:r w:rsidRPr="00D234E2">
              <w:rPr>
                <w:sz w:val="21"/>
                <w:szCs w:val="21"/>
              </w:rPr>
              <w:t xml:space="preserve"> </w:t>
            </w:r>
            <w:r w:rsidR="00125EC2" w:rsidRPr="00D234E2">
              <w:rPr>
                <w:sz w:val="21"/>
                <w:szCs w:val="21"/>
              </w:rPr>
              <w:t>products relate to broader cultural and historical contexts, analysing their use of media language and the cultural and ideological significance of the representations they offer</w:t>
            </w:r>
          </w:p>
          <w:p w14:paraId="6EB46AAA" w14:textId="5E678CA8" w:rsidR="00E81769" w:rsidRPr="00D234E2" w:rsidRDefault="00E81769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 xml:space="preserve">To analyse critically and compare how media products, including products outside the commercial mainstream, construct and communicate meanings through the interaction of media language and audience response </w:t>
            </w:r>
          </w:p>
          <w:p w14:paraId="3DC97469" w14:textId="289F8D90" w:rsidR="00846A8C" w:rsidRDefault="00846A8C" w:rsidP="00846A8C">
            <w:r>
              <w:t>To use a range of complex theories of media studies and use specialist subject</w:t>
            </w:r>
            <w:r>
              <w:t>-</w:t>
            </w:r>
            <w:r>
              <w:t xml:space="preserve">specific terminology appropriately in a developed way </w:t>
            </w:r>
          </w:p>
          <w:p w14:paraId="64EB503A" w14:textId="77777777" w:rsidR="00E81769" w:rsidRPr="00D234E2" w:rsidRDefault="00E81769" w:rsidP="00AD744A">
            <w:pPr>
              <w:rPr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 xml:space="preserve">To debate critically key questions relating to the social, cultural, political and economic role of the media through sustained discursive writing </w:t>
            </w:r>
          </w:p>
          <w:p w14:paraId="704CD9BE" w14:textId="72AC2DF4" w:rsidR="00125EC2" w:rsidRPr="00125EC2" w:rsidRDefault="00E81769" w:rsidP="00125EC2">
            <w:pPr>
              <w:rPr>
                <w:sz w:val="24"/>
                <w:szCs w:val="24"/>
              </w:rPr>
            </w:pPr>
            <w:r w:rsidRPr="00D234E2">
              <w:rPr>
                <w:sz w:val="21"/>
                <w:szCs w:val="21"/>
              </w:rPr>
              <w:t>To construct and develop a sustained line of reasoning which is coherent, relevant, substantiated and logically structured in an extended response</w:t>
            </w:r>
          </w:p>
        </w:tc>
        <w:tc>
          <w:tcPr>
            <w:tcW w:w="2131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B955C7">
        <w:trPr>
          <w:trHeight w:val="2115"/>
        </w:trPr>
        <w:tc>
          <w:tcPr>
            <w:tcW w:w="8207" w:type="dxa"/>
            <w:gridSpan w:val="2"/>
            <w:shd w:val="clear" w:color="auto" w:fill="FFEFFF"/>
          </w:tcPr>
          <w:p w14:paraId="451AC3B1" w14:textId="59A96156" w:rsidR="00473982" w:rsidRPr="00AD744A" w:rsidRDefault="008E39B4" w:rsidP="00AD744A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opportunities are there for wider study?</w:t>
            </w:r>
          </w:p>
          <w:p w14:paraId="74ADA89A" w14:textId="2885EA18" w:rsidR="00E24E16" w:rsidRPr="00846A8C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6A8C">
              <w:rPr>
                <w:sz w:val="20"/>
                <w:szCs w:val="20"/>
              </w:rPr>
              <w:t>Eduqas</w:t>
            </w:r>
            <w:proofErr w:type="spellEnd"/>
            <w:r w:rsidRPr="00846A8C">
              <w:rPr>
                <w:sz w:val="20"/>
                <w:szCs w:val="20"/>
              </w:rPr>
              <w:t xml:space="preserve"> Digital Resources </w:t>
            </w:r>
            <w:r w:rsidR="00AD744A" w:rsidRPr="00846A8C">
              <w:rPr>
                <w:sz w:val="20"/>
                <w:szCs w:val="20"/>
              </w:rPr>
              <w:t xml:space="preserve">(on </w:t>
            </w:r>
            <w:proofErr w:type="spellStart"/>
            <w:r w:rsidR="00AD744A" w:rsidRPr="00846A8C">
              <w:rPr>
                <w:sz w:val="20"/>
                <w:szCs w:val="20"/>
              </w:rPr>
              <w:t>Eduqas</w:t>
            </w:r>
            <w:proofErr w:type="spellEnd"/>
            <w:r w:rsidR="00AD744A" w:rsidRPr="00846A8C">
              <w:rPr>
                <w:sz w:val="20"/>
                <w:szCs w:val="20"/>
              </w:rPr>
              <w:t xml:space="preserve"> </w:t>
            </w:r>
            <w:proofErr w:type="gramStart"/>
            <w:r w:rsidR="00AD744A" w:rsidRPr="00846A8C">
              <w:rPr>
                <w:sz w:val="20"/>
                <w:szCs w:val="20"/>
              </w:rPr>
              <w:t>A</w:t>
            </w:r>
            <w:proofErr w:type="gramEnd"/>
            <w:r w:rsidR="00AD744A" w:rsidRPr="00846A8C">
              <w:rPr>
                <w:sz w:val="20"/>
                <w:szCs w:val="20"/>
              </w:rPr>
              <w:t xml:space="preserve"> Level Media Studies page)</w:t>
            </w:r>
          </w:p>
          <w:p w14:paraId="4D5A5FA8" w14:textId="4EEB1C69" w:rsidR="13CAA33F" w:rsidRPr="00846A8C" w:rsidRDefault="005E392D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6A8C">
              <w:rPr>
                <w:sz w:val="20"/>
                <w:szCs w:val="20"/>
              </w:rPr>
              <w:t>MediaMagazine</w:t>
            </w:r>
            <w:proofErr w:type="spellEnd"/>
            <w:r w:rsidRPr="00846A8C">
              <w:rPr>
                <w:sz w:val="20"/>
                <w:szCs w:val="20"/>
              </w:rPr>
              <w:t xml:space="preserve"> Online (Username:</w:t>
            </w:r>
            <w:r w:rsidR="00E24E16" w:rsidRPr="00846A8C">
              <w:rPr>
                <w:sz w:val="20"/>
                <w:szCs w:val="20"/>
              </w:rPr>
              <w:t xml:space="preserve"> HighcliffeSchool1 Password: Highcliffe1)</w:t>
            </w:r>
            <w:r w:rsidRPr="00846A8C">
              <w:rPr>
                <w:sz w:val="20"/>
                <w:szCs w:val="20"/>
              </w:rPr>
              <w:t xml:space="preserve"> </w:t>
            </w:r>
          </w:p>
          <w:p w14:paraId="2CADD5EA" w14:textId="5332243F" w:rsidR="009D5DEE" w:rsidRPr="00846A8C" w:rsidRDefault="009D5DEE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46A8C">
              <w:rPr>
                <w:color w:val="000000" w:themeColor="text1"/>
                <w:sz w:val="20"/>
                <w:szCs w:val="20"/>
              </w:rPr>
              <w:t>Curriculum Press factsheets</w:t>
            </w:r>
          </w:p>
          <w:p w14:paraId="56721B0A" w14:textId="5207FBA7" w:rsidR="00E24E16" w:rsidRPr="00846A8C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46A8C">
              <w:rPr>
                <w:color w:val="000000" w:themeColor="text1"/>
                <w:sz w:val="20"/>
                <w:szCs w:val="20"/>
              </w:rPr>
              <w:t>The Media Show, BBC Radio 4</w:t>
            </w:r>
          </w:p>
          <w:p w14:paraId="001E2D6F" w14:textId="3ECA7962" w:rsidR="00740723" w:rsidRPr="00AD744A" w:rsidRDefault="00AD744A" w:rsidP="00AD744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46A8C">
              <w:rPr>
                <w:color w:val="000000" w:themeColor="text1"/>
                <w:sz w:val="20"/>
                <w:szCs w:val="20"/>
              </w:rPr>
              <w:t xml:space="preserve">Media products: </w:t>
            </w:r>
            <w:r w:rsidR="005118A1" w:rsidRPr="00846A8C">
              <w:rPr>
                <w:sz w:val="20"/>
                <w:szCs w:val="20"/>
              </w:rPr>
              <w:t>Television programmes (same channels/genres/series)</w:t>
            </w:r>
          </w:p>
        </w:tc>
        <w:tc>
          <w:tcPr>
            <w:tcW w:w="2131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846A8C">
        <w:trPr>
          <w:trHeight w:val="111"/>
        </w:trPr>
        <w:tc>
          <w:tcPr>
            <w:tcW w:w="8207" w:type="dxa"/>
            <w:gridSpan w:val="2"/>
            <w:shd w:val="clear" w:color="auto" w:fill="FFEFFF"/>
          </w:tcPr>
          <w:p w14:paraId="6C19F758" w14:textId="550CE687" w:rsidR="00996496" w:rsidRPr="00D234E2" w:rsidRDefault="008E39B4" w:rsidP="13CAA33F">
            <w:pPr>
              <w:rPr>
                <w:b/>
                <w:bCs/>
                <w:u w:val="single"/>
              </w:rPr>
            </w:pPr>
            <w:r w:rsidRPr="00D234E2">
              <w:rPr>
                <w:b/>
                <w:bCs/>
                <w:u w:val="single"/>
              </w:rPr>
              <w:t>How will I be assessed?</w:t>
            </w:r>
          </w:p>
          <w:p w14:paraId="7C953E82" w14:textId="5722BC7F" w:rsidR="00811F13" w:rsidRPr="00D234E2" w:rsidRDefault="00B955C7" w:rsidP="00653C1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234E2">
              <w:rPr>
                <w:sz w:val="21"/>
                <w:szCs w:val="21"/>
              </w:rPr>
              <w:t>Formal in-class assessments using exam style</w:t>
            </w:r>
            <w:r w:rsidR="00F30C36" w:rsidRPr="00D234E2">
              <w:rPr>
                <w:sz w:val="21"/>
                <w:szCs w:val="21"/>
              </w:rPr>
              <w:t xml:space="preserve"> essay</w:t>
            </w:r>
            <w:r w:rsidRPr="00D234E2">
              <w:rPr>
                <w:sz w:val="21"/>
                <w:szCs w:val="21"/>
              </w:rPr>
              <w:t xml:space="preserve"> questions</w:t>
            </w:r>
          </w:p>
        </w:tc>
        <w:tc>
          <w:tcPr>
            <w:tcW w:w="2131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DA65FE" w14:textId="37342BE0" w:rsidR="00D9FFC5" w:rsidRDefault="00D9FFC5" w:rsidP="13CAA33F">
      <w:pPr>
        <w:rPr>
          <w:highlight w:val="green"/>
        </w:rPr>
      </w:pPr>
    </w:p>
    <w:sectPr w:rsidR="00D9FFC5" w:rsidSect="00846A8C">
      <w:headerReference w:type="default" r:id="rId10"/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08E3D" w14:textId="77777777" w:rsidR="0048370A" w:rsidRDefault="0048370A" w:rsidP="00017B74">
      <w:pPr>
        <w:spacing w:after="0" w:line="240" w:lineRule="auto"/>
      </w:pPr>
      <w:r>
        <w:separator/>
      </w:r>
    </w:p>
  </w:endnote>
  <w:endnote w:type="continuationSeparator" w:id="0">
    <w:p w14:paraId="7DE8FA23" w14:textId="77777777" w:rsidR="0048370A" w:rsidRDefault="0048370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FB288" w14:textId="77777777" w:rsidR="0048370A" w:rsidRDefault="0048370A" w:rsidP="00017B74">
      <w:pPr>
        <w:spacing w:after="0" w:line="240" w:lineRule="auto"/>
      </w:pPr>
      <w:r>
        <w:separator/>
      </w:r>
    </w:p>
  </w:footnote>
  <w:footnote w:type="continuationSeparator" w:id="0">
    <w:p w14:paraId="582D334C" w14:textId="77777777" w:rsidR="0048370A" w:rsidRDefault="0048370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A03F9"/>
    <w:rsid w:val="001246DA"/>
    <w:rsid w:val="00125EC2"/>
    <w:rsid w:val="002245BB"/>
    <w:rsid w:val="00266EEA"/>
    <w:rsid w:val="002B0167"/>
    <w:rsid w:val="002C6394"/>
    <w:rsid w:val="002F78A7"/>
    <w:rsid w:val="003E6B6F"/>
    <w:rsid w:val="00414D9F"/>
    <w:rsid w:val="00440E6C"/>
    <w:rsid w:val="00473982"/>
    <w:rsid w:val="0048370A"/>
    <w:rsid w:val="00487E07"/>
    <w:rsid w:val="005118A1"/>
    <w:rsid w:val="00524628"/>
    <w:rsid w:val="0053232D"/>
    <w:rsid w:val="005E392D"/>
    <w:rsid w:val="005F4E99"/>
    <w:rsid w:val="00653C11"/>
    <w:rsid w:val="006F3864"/>
    <w:rsid w:val="007146EF"/>
    <w:rsid w:val="00740558"/>
    <w:rsid w:val="00740723"/>
    <w:rsid w:val="007C20B4"/>
    <w:rsid w:val="007D0B5D"/>
    <w:rsid w:val="00811F13"/>
    <w:rsid w:val="0083335D"/>
    <w:rsid w:val="00846A8C"/>
    <w:rsid w:val="00847F4E"/>
    <w:rsid w:val="00867D25"/>
    <w:rsid w:val="008B1952"/>
    <w:rsid w:val="008E39B4"/>
    <w:rsid w:val="008F28F4"/>
    <w:rsid w:val="009825CB"/>
    <w:rsid w:val="00996496"/>
    <w:rsid w:val="009D5DEE"/>
    <w:rsid w:val="00A01754"/>
    <w:rsid w:val="00A23F48"/>
    <w:rsid w:val="00A314F1"/>
    <w:rsid w:val="00A56981"/>
    <w:rsid w:val="00AD744A"/>
    <w:rsid w:val="00B955C7"/>
    <w:rsid w:val="00BA646E"/>
    <w:rsid w:val="00BB3885"/>
    <w:rsid w:val="00C02A47"/>
    <w:rsid w:val="00C10295"/>
    <w:rsid w:val="00C42FD3"/>
    <w:rsid w:val="00CA59AB"/>
    <w:rsid w:val="00D234E2"/>
    <w:rsid w:val="00D33160"/>
    <w:rsid w:val="00D9FFC5"/>
    <w:rsid w:val="00DB0006"/>
    <w:rsid w:val="00DC23A5"/>
    <w:rsid w:val="00E24E16"/>
    <w:rsid w:val="00E5371A"/>
    <w:rsid w:val="00E81769"/>
    <w:rsid w:val="00F30C36"/>
    <w:rsid w:val="00F3214D"/>
    <w:rsid w:val="00F43D58"/>
    <w:rsid w:val="00F9765D"/>
    <w:rsid w:val="00FB7D5A"/>
    <w:rsid w:val="00FE1C68"/>
    <w:rsid w:val="00FF4F1C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Strong">
    <w:name w:val="Strong"/>
    <w:basedOn w:val="DefaultParagraphFont"/>
    <w:uiPriority w:val="22"/>
    <w:qFormat/>
    <w:rsid w:val="00E2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8</cp:revision>
  <dcterms:created xsi:type="dcterms:W3CDTF">2022-06-06T10:48:00Z</dcterms:created>
  <dcterms:modified xsi:type="dcterms:W3CDTF">2022-06-06T13:18:00Z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